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7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Analiza kretanja broja učenika osnovnih škola i broja upisanih u 1. razred osnovne škole za opštinu Tutin</w:t>
      </w:r>
      <w:r/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Obrazovni sistem, posebno osnovno obrazovanje, predstavlja ključni segment razvoja svakog društva i jedan od najvažnijih pokazatelja demografske i socio-ekonomske stabilnosti. Praćenje broja učenika osnovnih škola i učenika 1. razreda u lokalnim zajednicam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a pruža uvid u stanje nataliteta, migracionih tokova i održivosti lokalne populacije. Takođe, omogućava prepoznavanje obrazovnih trendova i izazova s kojima se suočava opština Tutin.</w:t>
      </w:r>
      <w:r/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Ova analiza fokusira se na dugoročne promene broja učenika osnovnih škola i učenika 1. razreda u Tutinu. Kroz uporedne i bazične indekse, identifikovani su ključni trendovi i dinamičke promene u poslednjoj deceniji. Poseban akcenat stavljen je na projekcij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e za 2031. i 2041. godinu, kako bi se bolje sagledale buduće potrebe obrazovnog sistema i definisale mere za unapređenje demografske i obrazovne stabilnosti.</w:t>
      </w:r>
      <w:r/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Za Tutin, kao opštinu sa specifičnom demografskom i kulturnom strukturom, analiza broja učenika pruža i dodatne uvide u šire društvene tokove, uključujući uticaj nataliteta, migracija i regionalnog razvoja na obrazovanje. Ova analiza ne služi samo za ident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ifikaciju izazova, već i za prepoznavanje mogućnosti za unapređenje obrazovnog sistema i bolje planiranje lokalne politike razvoja.</w:t>
      </w:r>
      <w:r/>
      <w:r/>
    </w:p>
    <w:p>
      <w:pPr>
        <w:pStyle w:val="17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Tabela sa vrednostima po godinama za Tutin</w:t>
      </w:r>
      <w:r/>
      <w:r/>
    </w:p>
    <w:tbl>
      <w:tblPr>
        <w:tblStyle w:val="48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560"/>
        <w:gridCol w:w="2190"/>
        <w:gridCol w:w="243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Školska godina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Ukupan broj učenika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Broj učenika 1. razreda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2014/15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4.371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559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2015/16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4.352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550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2016/17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4.311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528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2017/18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4.343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561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2018/19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4.255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513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2019/20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4.099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510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2020/21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3.985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450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2021/22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3.918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468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2022/23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3.751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459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2023/24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3.511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383</w:t>
            </w:r>
            <w:r/>
            <w:r/>
          </w:p>
        </w:tc>
      </w:tr>
    </w:tbl>
    <w:p>
      <w:pPr>
        <w:pStyle w:val="17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Komentari na tabelu</w:t>
      </w:r>
      <w:r/>
      <w:r/>
    </w:p>
    <w:p>
      <w:pPr>
        <w:pStyle w:val="19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1. Ukupan broj učenika (2014/15–2023/24):</w:t>
      </w:r>
      <w:r/>
      <w:r/>
    </w:p>
    <w:p>
      <w:pPr>
        <w:pStyle w:val="605"/>
        <w:numPr>
          <w:ilvl w:val="0"/>
          <w:numId w:val="1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Ukupan broj učenika opao je sa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4.371 (2014/15)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na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3.511 (2023/24)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što predstavlja smanjenje od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860 učenika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ili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19,68%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u periodu od 9 godina.</w:t>
      </w:r>
      <w:r/>
      <w:r/>
    </w:p>
    <w:p>
      <w:pPr>
        <w:pStyle w:val="605"/>
        <w:numPr>
          <w:ilvl w:val="0"/>
          <w:numId w:val="2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Pad je kontinuiran, sa povremenim oscilacijama. Najveći broj učenika zabeležen je u početnoj godini (2014/15), dok je najniži broj zabeležen u 2023/24.</w:t>
      </w:r>
      <w:r/>
      <w:r/>
    </w:p>
    <w:p>
      <w:p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ind w:right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342104" cy="2684868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539208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4342104" cy="26848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341.9pt;height:211.4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19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2. Broj učenika 1. razreda (2014/15–2023/24):</w:t>
      </w:r>
      <w:r/>
      <w:r/>
    </w:p>
    <w:p>
      <w:pPr>
        <w:pStyle w:val="605"/>
        <w:numPr>
          <w:ilvl w:val="0"/>
          <w:numId w:val="3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Broj učenika 1. razreda opao je sa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559 (2014/15)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na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383 (2023/24)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što predstavlja pad od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31,47%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ili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176 učenika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/>
      <w:r/>
    </w:p>
    <w:p>
      <w:pPr>
        <w:pStyle w:val="605"/>
        <w:numPr>
          <w:ilvl w:val="0"/>
          <w:numId w:val="4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Najveći broj učenika 1. razreda zabeležen je u 2017/18 (561), dok je najniži broj zabeležen u 2023/24 (383).</w:t>
      </w:r>
      <w:r/>
      <w:r/>
    </w:p>
    <w:p>
      <w:pPr>
        <w:pStyle w:val="605"/>
        <w:numPr>
          <w:ilvl w:val="0"/>
          <w:numId w:val="5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Pad broja prvaka je znatno brži od pada ukupnog broja učenika, što ukazuje na izraženiji uticaj demografskih i migracionih faktora.</w:t>
      </w:r>
      <w:r/>
      <w:r/>
    </w:p>
    <w:p>
      <w:pPr>
        <w:ind w:right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423779" cy="2735370"/>
                <wp:effectExtent l="0" t="0" r="0" b="0"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840592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flipH="0" flipV="0">
                          <a:off x="0" y="0"/>
                          <a:ext cx="4423777" cy="27353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348.3pt;height:215.4pt;mso-wrap-distance-left:0.0pt;mso-wrap-distance-top:0.0pt;mso-wrap-distance-right:0.0pt;mso-wrap-distance-bottom:0.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19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3. Oscilacije i trendovi:</w:t>
      </w:r>
      <w:r/>
      <w:r/>
    </w:p>
    <w:p>
      <w:pPr>
        <w:pStyle w:val="605"/>
        <w:numPr>
          <w:ilvl w:val="0"/>
          <w:numId w:val="6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Stagnacija u periodu 2014/15–2017/18: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Broj ukupnih učenika i prvaka bio je relativno stabilan, uz blage oscilacije.</w:t>
      </w:r>
      <w:r/>
      <w:r/>
    </w:p>
    <w:p>
      <w:pPr>
        <w:pStyle w:val="605"/>
        <w:numPr>
          <w:ilvl w:val="0"/>
          <w:numId w:val="7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Značajan pad nakon 2018/19: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Broj učenika počinje da opada značajnijim tempom, što se može povezati sa migracijama i smanjenjem nataliteta.</w:t>
      </w:r>
      <w:r/>
      <w:r/>
    </w:p>
    <w:p>
      <w:pPr>
        <w:pStyle w:val="605"/>
        <w:numPr>
          <w:ilvl w:val="0"/>
          <w:numId w:val="8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Razlika u trendovima ukupnih učenika i prvaka: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Brži pad broja prvaka ukazuje na budući negativan uticaj na obrazovni sistem.</w:t>
      </w:r>
      <w:r/>
      <w:r/>
    </w:p>
    <w:p>
      <w:pPr>
        <w:pStyle w:val="17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Bazični indeksi (bazna godina: 2014/15)</w:t>
      </w:r>
      <w:r/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Bazični indeks = (Vrednost u datoj godini / Vrednost u 2014/15) × 100</w:t>
      </w:r>
      <w:r/>
      <w:r/>
    </w:p>
    <w:tbl>
      <w:tblPr>
        <w:tblStyle w:val="48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612"/>
        <w:gridCol w:w="1686"/>
        <w:gridCol w:w="2529"/>
        <w:gridCol w:w="1871"/>
        <w:gridCol w:w="265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Godina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Ukupan broj učenika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Bazični indeks ukupnih učenika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Broj učenika 1. razreda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Bazični indeks učenika 1. razreda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2014/15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4.371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100,00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559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100,00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2015/16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4.352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99,57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98,39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2016/17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4.311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98,63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528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94,45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2017/18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4.343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99,36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561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100,36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2018/19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4.255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97,34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513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91,78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2019/20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4.099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93,77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510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91,24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2020/21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3.985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91,17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80,50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2021/22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3.918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89,64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468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83,72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2022/23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3.751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85,84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459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82,11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2023/24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3.511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80,32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383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68,52</w:t>
            </w:r>
            <w:r/>
            <w:r/>
          </w:p>
        </w:tc>
      </w:tr>
    </w:tbl>
    <w:p>
      <w:pPr>
        <w:pStyle w:val="17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Projekcije za 2031. i 2041. godinu</w:t>
      </w:r>
      <w:r/>
      <w:r/>
    </w:p>
    <w:p>
      <w:pPr>
        <w:pStyle w:val="19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Projekcija ukupnog broja učenika</w:t>
      </w:r>
      <w:r/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Prosečan godišnji pad ukupnog broja učenika (2014/15–2023/24):</w:t>
      </w:r>
      <w:r/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Godišnji pad (%) = -2,19% godišnje na osnovu vremenskog niza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(2014/15–2023/24)</w:t>
      </w:r>
      <w:r/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Projekcija:</w:t>
      </w:r>
      <w:r/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Ukupan broj učenika 2031 ≈ 3.084,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Ukupan broj učenika 2041 ≈ 2.558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19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Projekcija broja učenika 1. razreda</w:t>
      </w:r>
      <w:r/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Prosečan godišnji pad broja učenika 1. razreda (2014/15–2023/24):</w:t>
      </w:r>
      <w:r/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Godišnji pad (%) = -3,51%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godišnje na osnovu vremenskog niza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(2014/15–2023/24)</w:t>
      </w:r>
      <w:r/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Projekcija:</w:t>
      </w:r>
      <w:r/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Broj učenika 1. razreda 2031 ≈ 300,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Broj učenika 1. razreda 2041 ≈ 221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17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Zaključci</w:t>
      </w:r>
      <w:r/>
      <w:r/>
    </w:p>
    <w:p>
      <w:pPr>
        <w:pStyle w:val="19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A) Kretanje broja učenika (2014/15–2023/24):</w:t>
      </w:r>
      <w:r/>
      <w:r/>
    </w:p>
    <w:p>
      <w:pPr>
        <w:pStyle w:val="605"/>
        <w:numPr>
          <w:ilvl w:val="0"/>
          <w:numId w:val="9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Ukupan broj učenika opao je za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19,68%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dok je broj učenika 1. razreda opao za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31,47%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/>
      <w:r/>
    </w:p>
    <w:p>
      <w:pPr>
        <w:pStyle w:val="605"/>
        <w:numPr>
          <w:ilvl w:val="0"/>
          <w:numId w:val="10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Pad broja prvaka je brži, što ukazuje na dugoročnu ugroženost obrazovnog sistema.</w:t>
      </w:r>
      <w:r/>
      <w:r/>
    </w:p>
    <w:p>
      <w:pPr>
        <w:pStyle w:val="19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B) Projekcije za 2031. i 2041. godinu:</w:t>
      </w:r>
      <w:r/>
      <w:r/>
    </w:p>
    <w:p>
      <w:pPr>
        <w:pStyle w:val="605"/>
        <w:numPr>
          <w:ilvl w:val="0"/>
          <w:numId w:val="11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Ukupan broj učenika: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Očekuje se pad na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3.084 do 2031.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i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2.558 do 2041. godine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/>
      <w:r/>
    </w:p>
    <w:p>
      <w:pPr>
        <w:pStyle w:val="605"/>
        <w:numPr>
          <w:ilvl w:val="0"/>
          <w:numId w:val="12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Broj učenika 1. razreda: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Predviđa se smanjenje na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300 učenika do 2031.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i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221 do 2041. godine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/>
      <w:r/>
    </w:p>
    <w:p>
      <w:pPr>
        <w:pStyle w:val="19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C) Ključni izazovi i preporuke:</w:t>
      </w:r>
      <w:r/>
      <w:r/>
    </w:p>
    <w:p>
      <w:pPr>
        <w:pStyle w:val="605"/>
        <w:numPr>
          <w:ilvl w:val="0"/>
          <w:numId w:val="13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Migracije i natalitet: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Glavni izazovi uključuju smanjenje nataliteta i migracije porodica sa decom.</w:t>
      </w:r>
      <w:r/>
      <w:r/>
    </w:p>
    <w:p>
      <w:pPr>
        <w:pStyle w:val="605"/>
        <w:numPr>
          <w:ilvl w:val="0"/>
          <w:numId w:val="14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Podrška porodicama: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Potrebno je pružiti podršku porodicama kroz lokalne razvojne inicijative i obrazovne programe.</w:t>
      </w:r>
      <w:r/>
      <w:r/>
    </w:p>
    <w:p>
      <w:pPr>
        <w:pStyle w:val="19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D) Opšti zaključak:</w:t>
      </w:r>
      <w:r/>
      <w:r/>
    </w:p>
    <w:p>
      <w:pPr>
        <w:ind w:left="0" w:right="0" w:firstLine="0"/>
        <w:jc w:val="both"/>
        <w:spacing w:before="240" w:after="240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Tutin beleži izražen pad broja učenika, posebno prvaka, što ukazuje na ozbiljne demografske i socio-ekonomske izazove. Ukoliko se trenutni trendovi nastave, obrazovni sistem će se suočiti sa potrebom za značajnim prilagođavanjima u narednim decenijama.</w:t>
      </w:r>
      <w:r/>
      <w:r/>
    </w:p>
    <w:p>
      <w:r/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992" w:right="850" w:bottom="1134" w:left="1701" w:header="425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4"/>
      <w:jc w:val="right"/>
    </w:pPr>
    <w:fldSimple w:instr="PAGE \* MERGEFORMAT">
      <w:r>
        <w:t xml:space="preserve">1</w:t>
      </w:r>
    </w:fldSimple>
    <w:r/>
    <w:r/>
  </w:p>
  <w:p>
    <w:pPr>
      <w:pStyle w:val="44"/>
    </w:pP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59165" cy="176546"/>
              <wp:effectExtent l="0" t="0" r="0" b="0"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38877546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rcRect l="0" t="37655" r="0" b="39089"/>
                      <a:stretch/>
                    </pic:blipFill>
                    <pic:spPr bwMode="auto">
                      <a:xfrm flipH="0" flipV="0">
                        <a:off x="0" y="0"/>
                        <a:ext cx="759162" cy="17654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9.8pt;height:13.9pt;mso-wrap-distance-left:0.0pt;mso-wrap-distance-top:0.0pt;mso-wrap-distance-right:0.0pt;mso-wrap-distance-bottom:0.0pt;" stroked="false">
              <v:path textboxrect="0,0,0,0"/>
              <v:imagedata r:id="rId1" o:title=""/>
            </v:shape>
          </w:pict>
        </mc:Fallback>
      </mc:AlternateContent>
      <w:t xml:space="preserve">powered by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344574" cy="186575"/>
              <wp:effectExtent l="0" t="0" r="0" b="0"/>
              <wp:docPr id="2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88449917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rcRect l="17992" t="28202" r="17670" b="36962"/>
                      <a:stretch/>
                    </pic:blipFill>
                    <pic:spPr bwMode="auto">
                      <a:xfrm flipH="0" flipV="0">
                        <a:off x="0" y="0"/>
                        <a:ext cx="344574" cy="18657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7.1pt;height:14.7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  <w:r/>
    <w:r/>
    <w:r/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1"/>
    <w:next w:val="60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1"/>
    <w:next w:val="60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1"/>
    <w:next w:val="60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1"/>
    <w:next w:val="60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1"/>
    <w:next w:val="60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1"/>
    <w:next w:val="60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1"/>
    <w:next w:val="60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1"/>
    <w:next w:val="60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1"/>
    <w:next w:val="60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01"/>
    <w:next w:val="60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01"/>
    <w:next w:val="60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01"/>
    <w:next w:val="60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1"/>
    <w:next w:val="60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0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01"/>
    <w:next w:val="6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0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01"/>
    <w:next w:val="60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1"/>
    <w:next w:val="60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1"/>
    <w:next w:val="60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1"/>
    <w:next w:val="60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1"/>
    <w:next w:val="60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1"/>
    <w:next w:val="60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1"/>
    <w:next w:val="60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1"/>
    <w:next w:val="60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1"/>
    <w:next w:val="60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1"/>
    <w:next w:val="601"/>
    <w:uiPriority w:val="99"/>
    <w:unhideWhenUsed/>
    <w:pPr>
      <w:spacing w:after="0" w:afterAutospacing="0"/>
    </w:pPr>
  </w:style>
  <w:style w:type="paragraph" w:styleId="601" w:default="1">
    <w:name w:val="Normal"/>
    <w:qFormat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paragraph" w:styleId="604">
    <w:name w:val="No Spacing"/>
    <w:basedOn w:val="601"/>
    <w:uiPriority w:val="1"/>
    <w:qFormat/>
    <w:pPr>
      <w:spacing w:after="0" w:line="240" w:lineRule="auto"/>
    </w:pPr>
  </w:style>
  <w:style w:type="paragraph" w:styleId="605">
    <w:name w:val="List Paragraph"/>
    <w:basedOn w:val="601"/>
    <w:uiPriority w:val="34"/>
    <w:qFormat/>
    <w:pPr>
      <w:contextualSpacing/>
      <w:ind w:left="720"/>
    </w:pPr>
  </w:style>
  <w:style w:type="character" w:styleId="610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3.png"/><Relationship Id="rId12" Type="http://schemas.openxmlformats.org/officeDocument/2006/relationships/image" Target="media/image4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2025-01-09T14:39:17Z</dcterms:modified>
</cp:coreProperties>
</file>